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Secca KjG" w:hAnsi="Secca KjG"/>
          <w:b/>
          <w:bCs/>
          <w:sz w:val="28"/>
          <w:szCs w:val="28"/>
        </w:rPr>
      </w:pPr>
      <w:r>
        <w:rPr>
          <w:rFonts w:ascii="Secca KjG" w:hAnsi="Secca KjG"/>
          <w:b/>
          <w:bCs/>
          <w:sz w:val="28"/>
          <w:szCs w:val="28"/>
        </w:rPr>
        <w:t>Übersicht über die Änderungen an der Musterortssatzung</w:t>
      </w:r>
    </w:p>
    <w:p>
      <w:pPr>
        <w:pStyle w:val="Normal"/>
        <w:bidi w:val="0"/>
        <w:jc w:val="left"/>
        <w:rPr>
          <w:rFonts w:ascii="Secca KjG" w:hAnsi="Secca KjG"/>
        </w:rPr>
      </w:pPr>
      <w:r>
        <w:rPr>
          <w:rFonts w:ascii="Secca KjG" w:hAnsi="Secca KjG"/>
        </w:rPr>
      </w:r>
    </w:p>
    <w:p>
      <w:pPr>
        <w:pStyle w:val="Normal"/>
        <w:bidi w:val="0"/>
        <w:jc w:val="left"/>
        <w:rPr>
          <w:rFonts w:ascii="Secca KjG" w:hAnsi="Secca KjG"/>
        </w:rPr>
      </w:pPr>
      <w:r>
        <w:rPr>
          <w:rFonts w:ascii="Secca KjG" w:hAnsi="Secca KjG"/>
        </w:rPr>
        <w:t>Hier findet ihr die Änderungen an der Mustersatzung der vergangenen Jahre aufgeschlüsselt. Falls ihr also demnächst eine neue Satzung beschließt, schaut hier doch einfach mal rein und übernehmt die entsprechenden Änderungen!</w:t>
      </w:r>
    </w:p>
    <w:p>
      <w:pPr>
        <w:pStyle w:val="Normal"/>
        <w:bidi w:val="0"/>
        <w:jc w:val="left"/>
        <w:rPr>
          <w:rFonts w:ascii="Secca KjG" w:hAnsi="Secca KjG"/>
        </w:rPr>
      </w:pPr>
      <w:r>
        <w:rPr>
          <w:rFonts w:ascii="Secca KjG" w:hAnsi="Secca KjG"/>
        </w:rPr>
      </w:r>
    </w:p>
    <w:p>
      <w:pPr>
        <w:pStyle w:val="Normal"/>
        <w:bidi w:val="0"/>
        <w:jc w:val="left"/>
        <w:rPr>
          <w:rFonts w:ascii="Secca KjG" w:hAnsi="Secca KjG"/>
        </w:rPr>
      </w:pPr>
      <w:r>
        <w:rPr>
          <w:rFonts w:ascii="Secca KjG" w:hAnsi="Secca KjG"/>
        </w:rPr>
        <w:t>Änderungen an der Musterortssatzungen zwischen der Fassung vom Februar 2022 und der Fassung vom Dezember 2022:</w:t>
      </w:r>
    </w:p>
    <w:p>
      <w:pPr>
        <w:pStyle w:val="Normal"/>
        <w:bidi w:val="0"/>
        <w:jc w:val="left"/>
        <w:rPr>
          <w:rFonts w:ascii="Secca KjG" w:hAnsi="Secca KjG"/>
        </w:rPr>
      </w:pPr>
      <w:r>
        <w:rPr>
          <w:rFonts w:ascii="Secca KjG" w:hAnsi="Secca KjG"/>
        </w:rPr>
      </w:r>
    </w:p>
    <w:tbl>
      <w:tblPr>
        <w:tblW w:w="5000" w:type="pct"/>
        <w:jc w:val="left"/>
        <w:tblInd w:w="28" w:type="dxa"/>
        <w:tblLayout w:type="fixed"/>
        <w:tblCellMar>
          <w:top w:w="28" w:type="dxa"/>
          <w:left w:w="28" w:type="dxa"/>
          <w:bottom w:w="28" w:type="dxa"/>
          <w:right w:w="28" w:type="dxa"/>
        </w:tblCellMar>
      </w:tblPr>
      <w:tblGrid>
        <w:gridCol w:w="1179"/>
        <w:gridCol w:w="5221"/>
        <w:gridCol w:w="5221"/>
        <w:gridCol w:w="1950"/>
      </w:tblGrid>
      <w:tr>
        <w:trPr/>
        <w:tc>
          <w:tcPr>
            <w:tcW w:w="1179" w:type="dxa"/>
            <w:tcBorders>
              <w:top w:val="single" w:sz="2" w:space="0" w:color="000000"/>
              <w:left w:val="single" w:sz="2" w:space="0" w:color="000000"/>
              <w:bottom w:val="single" w:sz="2" w:space="0" w:color="000000"/>
            </w:tcBorders>
          </w:tcPr>
          <w:p>
            <w:pPr>
              <w:pStyle w:val="TableContents"/>
              <w:widowControl w:val="false"/>
              <w:bidi w:val="0"/>
              <w:jc w:val="left"/>
              <w:rPr>
                <w:rFonts w:ascii="Secca KjG" w:hAnsi="Secca KjG"/>
                <w:b/>
                <w:bCs/>
              </w:rPr>
            </w:pPr>
            <w:r>
              <w:rPr>
                <w:rFonts w:ascii="Secca KjG" w:hAnsi="Secca KjG"/>
                <w:b/>
                <w:bCs/>
              </w:rPr>
              <w:t>Ort:</w:t>
            </w:r>
          </w:p>
        </w:tc>
        <w:tc>
          <w:tcPr>
            <w:tcW w:w="5221" w:type="dxa"/>
            <w:tcBorders>
              <w:top w:val="single" w:sz="2" w:space="0" w:color="000000"/>
              <w:left w:val="single" w:sz="2" w:space="0" w:color="000000"/>
              <w:bottom w:val="single" w:sz="2" w:space="0" w:color="000000"/>
            </w:tcBorders>
          </w:tcPr>
          <w:p>
            <w:pPr>
              <w:pStyle w:val="TableContents"/>
              <w:widowControl w:val="false"/>
              <w:bidi w:val="0"/>
              <w:jc w:val="left"/>
              <w:rPr>
                <w:rFonts w:ascii="Secca KjG" w:hAnsi="Secca KjG"/>
                <w:b/>
                <w:bCs/>
              </w:rPr>
            </w:pPr>
            <w:r>
              <w:rPr>
                <w:rFonts w:ascii="Secca KjG" w:hAnsi="Secca KjG"/>
                <w:b/>
                <w:bCs/>
              </w:rPr>
              <w:t>Alte Fassung:</w:t>
            </w:r>
          </w:p>
        </w:tc>
        <w:tc>
          <w:tcPr>
            <w:tcW w:w="5221" w:type="dxa"/>
            <w:tcBorders>
              <w:top w:val="single" w:sz="2" w:space="0" w:color="000000"/>
              <w:left w:val="single" w:sz="2" w:space="0" w:color="000000"/>
              <w:bottom w:val="single" w:sz="2" w:space="0" w:color="000000"/>
            </w:tcBorders>
          </w:tcPr>
          <w:p>
            <w:pPr>
              <w:pStyle w:val="TableContents"/>
              <w:widowControl w:val="false"/>
              <w:bidi w:val="0"/>
              <w:jc w:val="left"/>
              <w:rPr>
                <w:rFonts w:ascii="Secca KjG" w:hAnsi="Secca KjG"/>
                <w:b/>
                <w:bCs/>
              </w:rPr>
            </w:pPr>
            <w:r>
              <w:rPr>
                <w:rFonts w:ascii="Secca KjG" w:hAnsi="Secca KjG"/>
                <w:b/>
                <w:bCs/>
              </w:rPr>
              <w:t>Neue Fassung:</w:t>
            </w:r>
          </w:p>
        </w:tc>
        <w:tc>
          <w:tcPr>
            <w:tcW w:w="1950" w:type="dxa"/>
            <w:tcBorders>
              <w:top w:val="single" w:sz="2" w:space="0" w:color="000000"/>
              <w:left w:val="single" w:sz="2" w:space="0" w:color="000000"/>
              <w:bottom w:val="single" w:sz="2" w:space="0" w:color="000000"/>
              <w:right w:val="single" w:sz="2" w:space="0" w:color="000000"/>
            </w:tcBorders>
          </w:tcPr>
          <w:p>
            <w:pPr>
              <w:pStyle w:val="TableContents"/>
              <w:widowControl w:val="false"/>
              <w:bidi w:val="0"/>
              <w:jc w:val="left"/>
              <w:rPr>
                <w:rFonts w:ascii="Secca KjG" w:hAnsi="Secca KjG"/>
                <w:b/>
                <w:bCs/>
              </w:rPr>
            </w:pPr>
            <w:r>
              <w:rPr>
                <w:rFonts w:ascii="Secca KjG" w:hAnsi="Secca KjG"/>
                <w:b/>
                <w:bCs/>
              </w:rPr>
              <w:t>Kommentare/Begründungen:</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Grundlagen &amp; Ziele</w:t>
            </w:r>
          </w:p>
          <w:p>
            <w:pPr>
              <w:pStyle w:val="TableContents"/>
              <w:widowControl w:val="false"/>
              <w:bidi w:val="0"/>
              <w:jc w:val="left"/>
              <w:rPr>
                <w:rFonts w:ascii="Secca KjG" w:hAnsi="Secca KjG"/>
              </w:rPr>
            </w:pPr>
            <w:r>
              <w:rPr>
                <w:rFonts w:ascii="Secca KjG" w:hAnsi="Secca KjG"/>
              </w:rPr>
              <w:t>Absatz 1</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In der Katholischen jungen Gemeinde (KjG) schließen sich junge Christ*innen zusammen.</w:t>
            </w:r>
            <w:r>
              <w:rPr>
                <w:rFonts w:eastAsia="Times" w:cs="Times" w:ascii="Secca KjG" w:hAnsi="Secca KjG"/>
                <w:strike/>
                <w:color w:val="FF0000"/>
                <w:vertAlign w:val="superscript"/>
              </w:rPr>
              <w:t>1</w:t>
            </w:r>
            <w:r>
              <w:rPr>
                <w:rFonts w:eastAsia="Times" w:cs="Times" w:ascii="Secca KjG" w:hAnsi="Secca KjG"/>
                <w:color w:val="000000"/>
              </w:rPr>
              <w:t xml:space="preserve"> Demokratisch und gleichberechtigt wählen alle Mitglieder altersunabhängig die Leitungen und entscheiden über die Inhalte und Arbeitsformen des Verbandes.</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strike/>
                <w:color w:val="FF0000"/>
                <w:vertAlign w:val="superscript"/>
              </w:rPr>
              <w:t>1</w:t>
            </w:r>
            <w:r>
              <w:rPr>
                <w:rFonts w:eastAsia="Times" w:cs="Times" w:ascii="Secca KjG" w:hAnsi="Secca KjG"/>
                <w:strike/>
                <w:color w:val="FF0000"/>
              </w:rPr>
              <w:t xml:space="preserve"> </w:t>
            </w:r>
            <w:r>
              <w:rPr>
                <w:rFonts w:eastAsia="Times" w:cs="Times" w:ascii="Secca KjG" w:hAnsi="Secca KjG"/>
                <w:strike/>
                <w:color w:val="FF0000"/>
                <w:sz w:val="20"/>
                <w:szCs w:val="20"/>
              </w:rPr>
              <w:t>Mitglied der KjG kann jede*r werden der*die die Grundlagen und Ziele des Verbandes bejaht</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In der Katholischen jungen Gemeinde (KjG) schließen sich junge Christ*innen zusamme</w:t>
            </w:r>
            <w:r>
              <w:rPr>
                <w:rFonts w:eastAsia="Times" w:cs="Times" w:ascii="Secca KjG" w:hAnsi="Secca KjG"/>
                <w:color w:val="000000"/>
                <w:kern w:val="0"/>
                <w:sz w:val="22"/>
                <w:szCs w:val="22"/>
                <w:lang w:val="de-DE" w:eastAsia="de-DE" w:bidi="ar-SA"/>
              </w:rPr>
              <w:t xml:space="preserve">n.  </w:t>
            </w:r>
            <w:r>
              <w:rPr>
                <w:rFonts w:eastAsia="Times" w:cs="Times" w:ascii="Secca KjG" w:hAnsi="Secca KjG"/>
                <w:color w:val="00A933"/>
                <w:kern w:val="0"/>
                <w:sz w:val="22"/>
                <w:szCs w:val="22"/>
                <w:u w:val="single"/>
                <w:lang w:val="de-DE" w:eastAsia="de-DE" w:bidi="ar-SA"/>
              </w:rPr>
              <w:t>Mitglied der KjG kann jede*r werden der*die die Grundlagen und Ziele des Verbandes bejaht.</w:t>
            </w:r>
            <w:r>
              <w:rPr>
                <w:rFonts w:eastAsia="Times" w:cs="Times" w:ascii="Secca KjG" w:hAnsi="Secca KjG"/>
                <w:color w:val="000000"/>
                <w:kern w:val="0"/>
                <w:sz w:val="22"/>
                <w:szCs w:val="22"/>
                <w:lang w:val="de-DE" w:eastAsia="de-DE" w:bidi="ar-SA"/>
              </w:rPr>
              <w:t xml:space="preserve"> Demokratisch und gleichberechtigt wählen alle Mitglieder altersunabhängig die Leitungen und entscheiden übe</w:t>
            </w:r>
            <w:r>
              <w:rPr>
                <w:rFonts w:eastAsia="Times" w:cs="Times" w:ascii="Secca KjG" w:hAnsi="Secca KjG"/>
                <w:color w:val="000000"/>
              </w:rPr>
              <w:t>r die Inhalte und Arbeitsformen des Verbandes.</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666666"/>
              </w:rPr>
              <w:t>Änderungen auf Bundesebene sollen eingepflegt werden</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 Abs. 7) &amp; 8)</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 xml:space="preserve">7) Zweck der Ortsgruppe im KjG-Diözesanverbands Freiburg ist </w:t>
            </w:r>
            <w:r>
              <w:rPr>
                <w:rFonts w:eastAsia="Times" w:cs="Times" w:ascii="Secca KjG" w:hAnsi="Secca KjG"/>
                <w:strike/>
                <w:color w:val="FF0000"/>
              </w:rPr>
              <w:t>die Verwirklichung der Grundlagen und Ziele der KjG</w:t>
            </w:r>
            <w:r>
              <w:rPr>
                <w:rFonts w:eastAsia="Times" w:cs="Times" w:ascii="Secca KjG" w:hAnsi="Secca KjG"/>
                <w:color w:val="000000"/>
              </w:rPr>
              <w:t>.</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 xml:space="preserve">8) Der Satzungszweck wird verwirklicht </w:t>
            </w:r>
            <w:r>
              <w:rPr>
                <w:rFonts w:eastAsia="Times" w:cs="Times" w:ascii="Secca KjG" w:hAnsi="Secca KjG"/>
                <w:strike/>
                <w:color w:val="FF0000"/>
              </w:rPr>
              <w:t>durch die Förderung der Jugendhilfe und der Förderung kirchlicher Zwecke</w:t>
            </w:r>
            <w:r>
              <w:rPr>
                <w:rFonts w:eastAsia="Times" w:cs="Times" w:ascii="Secca KjG" w:hAnsi="Secca KjG"/>
                <w:color w:val="000000"/>
              </w:rPr>
              <w:t>. Dies beinhaltet Freizeitangebote, Bildungsangebote und religiöse Angebote.</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7) Zweck der Ortsgruppe im KjG-Diözesanverbands Freiburg ist </w:t>
            </w:r>
            <w:r>
              <w:rPr>
                <w:rFonts w:eastAsia="Times" w:cs="Times" w:ascii="Secca KjG" w:hAnsi="Secca KjG"/>
                <w:color w:val="00A933"/>
                <w:u w:val="single"/>
              </w:rPr>
              <w:t>die Förderung der Jugendhilfe und die Förderung kirchlicher Zwecke</w:t>
            </w:r>
            <w:r>
              <w:rPr>
                <w:rFonts w:eastAsia="Times" w:cs="Times" w:ascii="Secca KjG" w:hAnsi="Secca KjG"/>
                <w:color w:val="000000"/>
              </w:rPr>
              <w:t>.</w:t>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8) Der Satzungszweck wird verwirklicht durch </w:t>
            </w:r>
            <w:r>
              <w:rPr>
                <w:rFonts w:eastAsia="Times" w:cs="Times" w:ascii="Secca KjG" w:hAnsi="Secca KjG"/>
                <w:color w:val="00A933"/>
                <w:u w:val="single"/>
              </w:rPr>
              <w:t>die Umsetzung der Grundlagen und Ziele der KjG</w:t>
            </w:r>
            <w:r>
              <w:rPr>
                <w:rFonts w:eastAsia="Times" w:cs="Times" w:ascii="Secca KjG" w:hAnsi="Secca KjG"/>
                <w:color w:val="000000"/>
              </w:rPr>
              <w:t>. Dies beinhaltet Freizeitangebote, Bildungsangebote und religiöse Angebote.</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808080"/>
              </w:rPr>
              <w:t>Mit der alten Formulierung hatten einige Finanzämter Probleme.</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 Abs. 15)</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 xml:space="preserve">15) </w:t>
            </w:r>
            <w:r>
              <w:rPr>
                <w:rFonts w:eastAsia="Times" w:cs="Times" w:ascii="Secca KjG" w:hAnsi="Secca KjG"/>
                <w:strike/>
                <w:color w:val="FF0000"/>
              </w:rPr>
              <w:t>Die Leitung der nächsthöheren KjG-Ebene, die Diözesanleitung, kann Beschlüsse von Organen aufheben, wenn sie gegen die Satzung oder die Grundlagen und Ziele verstoßen.</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15) </w:t>
            </w:r>
            <w:r>
              <w:rPr>
                <w:rFonts w:eastAsia="Times" w:cs="Times" w:ascii="Secca KjG" w:hAnsi="Secca KjG"/>
                <w:color w:val="00A933"/>
                <w:u w:val="single"/>
              </w:rPr>
              <w:t>Die  Diözesanleitung kann die Nichtigkeit der Beschlüsse von Organen der Ortsgruppen und Kooperationen nach Abs. 17) feststellen. Gegen die Entscheidung kann Einspruch beim Verwaltungsrat nach den Absätzen 19)-21) eingelegt werden.</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Anpassung bzw. Korrektur bisheriger Regelungen</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 Abs. 18)</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18) Gegen Entscheidungen der Leitungsrunde bei Konflikt- und Streitfällen kann Berufung beim Verwaltungsrat des KjG-Diözesanverbandes eingelegt werden, soweit nichts Anderes bestimmt ist. Dieser lehnt die Annahme des Falles entweder ab oder entscheidet endgültig.</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18) Gegen Entscheidungen der Leitungsrunde </w:t>
            </w:r>
            <w:r>
              <w:rPr>
                <w:rFonts w:eastAsia="Times" w:cs="Times" w:ascii="Secca KjG" w:hAnsi="Secca KjG"/>
                <w:color w:val="00A933"/>
                <w:u w:val="single"/>
              </w:rPr>
              <w:t>bzw. der Mitgliederversammlung</w:t>
            </w:r>
            <w:r>
              <w:rPr>
                <w:rFonts w:eastAsia="Times" w:cs="Times" w:ascii="Secca KjG" w:hAnsi="Secca KjG"/>
                <w:color w:val="000000"/>
              </w:rPr>
              <w:t xml:space="preserve"> bei Konflikt- und Streitfällen kann Berufung beim Verwaltungsrat des KjG-Diözesanverbandes eingelegt werden, soweit nichts Anderes bestimmt ist. Dieser lehnt die Annahme des Falles entweder ab oder entscheidet endgültig.</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Korrektur</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3) &amp; 4neu)</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3) Die Ortsgruppe hat die Rechtsform eines nicht eingetragenen Vereins. Sie ist ein freier Zusammenschluss von Gläubigen im Sinne von c. 215 CIC.</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3) Die Ortsgruppe hat die Rechtsform eines nicht eingetragenen Vereins.</w:t>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4) Sie ist ein freier Zusammenschluss von Gläubigen im Sinne von c. 215 CIC. </w:t>
            </w:r>
            <w:r>
              <w:rPr>
                <w:rFonts w:eastAsia="Times" w:cs="Times" w:ascii="Secca KjG" w:hAnsi="Secca KjG"/>
                <w:color w:val="00A933"/>
                <w:u w:val="single"/>
              </w:rPr>
              <w:t>Die Ortsgruppe versteht ihre Tätigkeit als Wesens- und Lebensäußerung der katholischen Kirche.</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Anforderungen des Kirchenrechtes</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7neu)</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A933"/>
                <w:u w:val="single"/>
              </w:rPr>
            </w:pPr>
            <w:r>
              <w:rPr>
                <w:rFonts w:eastAsia="Times" w:cs="Times" w:ascii="Secca KjG" w:hAnsi="Secca KjG"/>
                <w:color w:val="00A933"/>
                <w:u w:val="single"/>
              </w:rPr>
              <w:t>7) Sie hat ihren Sitz in N.N..</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Anmerkung von verschiedenen Finanzämtern</w:t>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Kommentar:</w:t>
            </w:r>
          </w:p>
          <w:p>
            <w:pPr>
              <w:pStyle w:val="Normal"/>
              <w:widowControl w:val="false"/>
              <w:tabs>
                <w:tab w:val="clear" w:pos="709"/>
                <w:tab w:val="left" w:pos="637" w:leader="none"/>
              </w:tabs>
              <w:bidi w:val="0"/>
              <w:spacing w:lineRule="atLeast" w:line="0" w:before="0" w:after="0"/>
              <w:ind w:left="0" w:right="0" w:hanging="0"/>
              <w:jc w:val="left"/>
              <w:rPr>
                <w:rFonts w:ascii="Secca KjG" w:hAnsi="Secca KjG" w:eastAsia="Times" w:cs="Times"/>
                <w:color w:val="000000"/>
              </w:rPr>
            </w:pPr>
            <w:r>
              <w:rPr>
                <w:rFonts w:ascii="Calibri" w:hAnsi="Calibri"/>
                <w:b w:val="false"/>
                <w:i w:val="false"/>
                <w:strike w:val="false"/>
                <w:dstrike w:val="false"/>
                <w:outline w:val="false"/>
                <w:shadow w:val="false"/>
                <w:color w:val="auto"/>
                <w:spacing w:val="0"/>
                <w:kern w:val="0"/>
                <w:sz w:val="18"/>
                <w:u w:val="none"/>
                <w:em w:val="none"/>
              </w:rPr>
              <w:t>Hier muss der Ort eingetragen werden, an dem die KjG ihren Sitz hat. (Z.B. hat ihren Sitz in Freiburg – die genaue Adresse über die Stadt hinaus muss hier nicht angegeben werden)</w:t>
            </w:r>
          </w:p>
          <w:p>
            <w:pPr>
              <w:pStyle w:val="Normal"/>
              <w:widowControl w:val="false"/>
              <w:tabs>
                <w:tab w:val="clear" w:pos="709"/>
                <w:tab w:val="left" w:pos="637" w:leader="none"/>
              </w:tabs>
              <w:bidi w:val="0"/>
              <w:spacing w:lineRule="atLeast" w:line="0" w:before="0" w:after="0"/>
              <w:ind w:left="0" w:right="0" w:hanging="0"/>
              <w:jc w:val="left"/>
              <w:rPr>
                <w:rFonts w:ascii="Secca KjG" w:hAnsi="Secca KjG" w:eastAsia="Times" w:cs="Times"/>
                <w:color w:val="000000"/>
              </w:rPr>
            </w:pPr>
            <w:r>
              <w:rPr>
                <w:rFonts w:eastAsia="Times" w:cs="Times" w:ascii="Secca KjG" w:hAnsi="Secca KjG"/>
                <w:color w:val="000000"/>
              </w:rPr>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17)</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17) Die Satzung bedarf der Genehmigung durch den Verwaltungsrat. Die Genehmigung kann unter Auflagen und Bedingungen erteilt werden.</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17) Die Satzung bedarf der Genehmigung durch den Verwaltungsrat </w:t>
            </w:r>
            <w:r>
              <w:rPr>
                <w:rFonts w:eastAsia="Times" w:cs="Times" w:ascii="Secca KjG" w:hAnsi="Secca KjG"/>
                <w:color w:val="00A933"/>
                <w:u w:val="single"/>
              </w:rPr>
              <w:t>bzw. falls keine Stellen der Verwaltungsrät*innen besetzt sind durch die Diözesanleitung. Durch Beschluss der Diözesankonferenz kann die Aufgabe der Genehmigung von Ortssatzungen nach den Regelungen der Absätze V 69) ff. Diözesansatzung auch auf ein anderes Gremium übertragen werden</w:t>
            </w:r>
            <w:r>
              <w:rPr>
                <w:rFonts w:eastAsia="Times" w:cs="Times" w:ascii="Secca KjG" w:hAnsi="Secca KjG"/>
                <w:color w:val="000000"/>
              </w:rPr>
              <w:t>. Die Genehmigung kann unter Auflagen und Bedingungen erteilt werden.</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Anpassung von der DiKo 2022</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23)</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 xml:space="preserve">23) Zu dieser Versammlung muss 14 Tage vorher </w:t>
            </w:r>
            <w:r>
              <w:rPr>
                <w:rFonts w:eastAsia="Times" w:cs="Times" w:ascii="Secca KjG" w:hAnsi="Secca KjG"/>
                <w:strike/>
                <w:color w:val="FF0000"/>
              </w:rPr>
              <w:t>schriftlich</w:t>
            </w:r>
            <w:r>
              <w:rPr>
                <w:rFonts w:eastAsia="Times" w:cs="Times" w:ascii="Secca KjG" w:hAnsi="Secca KjG"/>
                <w:color w:val="000000"/>
              </w:rPr>
              <w:t xml:space="preserve"> eingeladen werden. Der Einladung ist eine Begründung beizufügen.</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23) Zu dieser Versammlung muss 14 Tage vorher </w:t>
            </w:r>
            <w:r>
              <w:rPr>
                <w:rFonts w:eastAsia="Times" w:cs="Times" w:ascii="Secca KjG" w:hAnsi="Secca KjG"/>
                <w:color w:val="00A933"/>
                <w:u w:val="single"/>
              </w:rPr>
              <w:t>in Textform</w:t>
            </w:r>
            <w:r>
              <w:rPr>
                <w:rFonts w:eastAsia="Times" w:cs="Times" w:ascii="Secca KjG" w:hAnsi="Secca KjG"/>
                <w:color w:val="000000"/>
              </w:rPr>
              <w:t xml:space="preserve"> eingeladen werden. Der Einladung ist eine Begründung beizufügen.</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Anpassung von der DiKo 2022</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23) &amp; 24)</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 xml:space="preserve">23) Bei Auflösung der Ortsgruppe oder bei Wegfall ihres bisherigen Zwecks fällt ihr Vermögen an den KjG-Diözesanverband. Dieser ist verpflichtet, das Vermögen der Ortsgruppe zweckgebunden zu </w:t>
            </w:r>
            <w:r>
              <w:rPr>
                <w:rFonts w:eastAsia="Times" w:cs="Times" w:ascii="Secca KjG" w:hAnsi="Secca KjG"/>
                <w:strike/>
                <w:color w:val="FF0000"/>
              </w:rPr>
              <w:t>verwalten</w:t>
            </w:r>
            <w:r>
              <w:rPr>
                <w:rFonts w:eastAsia="Times" w:cs="Times" w:ascii="Secca KjG" w:hAnsi="Secca KjG"/>
                <w:color w:val="000000"/>
              </w:rPr>
              <w:t>.</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24) Sollte sich die Ortsgruppe innerhalb von drei Jahren neu konstituieren, ist ihr das Vermögen auszuhändigen.</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23) Bei Auflösung der Ortsgruppe oder bei Wegfall ihres bisherigen Zwecks fällt ihr Vermögen an den KjG-Diözesanverband. Dieser ist verpflichtet, das Vermögen der Ortsgruppe zweckgebunden </w:t>
            </w:r>
            <w:r>
              <w:rPr>
                <w:rFonts w:eastAsia="Times" w:cs="Times" w:ascii="Secca KjG" w:hAnsi="Secca KjG"/>
                <w:color w:val="00A933"/>
                <w:u w:val="single"/>
              </w:rPr>
              <w:t>unmittelbar und ausschließlich für gemeinnützige oder kirchliche Zwecke zu verwenden</w:t>
            </w:r>
            <w:r>
              <w:rPr>
                <w:rFonts w:eastAsia="Times" w:cs="Times" w:ascii="Secca KjG" w:hAnsi="Secca KjG"/>
                <w:color w:val="000000"/>
              </w:rPr>
              <w:t>.</w:t>
            </w:r>
          </w:p>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24) Sollte sich innerhalb von drei Jahren eine neue </w:t>
            </w:r>
            <w:r>
              <w:rPr>
                <w:rFonts w:eastAsia="Times" w:cs="Times" w:ascii="Secca KjG" w:hAnsi="Secca KjG"/>
                <w:color w:val="00A933"/>
                <w:u w:val="single"/>
              </w:rPr>
              <w:t>steuerbegünstigte</w:t>
            </w:r>
            <w:r>
              <w:rPr>
                <w:rFonts w:eastAsia="Times" w:cs="Times" w:ascii="Secca KjG" w:hAnsi="Secca KjG"/>
                <w:color w:val="000000"/>
              </w:rPr>
              <w:t xml:space="preserve"> KjG Ortsgruppe konstituieren, ist ihr das Vermögen </w:t>
            </w:r>
            <w:r>
              <w:rPr>
                <w:rFonts w:eastAsia="Times" w:cs="Times" w:ascii="Secca KjG" w:hAnsi="Secca KjG"/>
                <w:color w:val="00A933"/>
                <w:u w:val="single"/>
              </w:rPr>
              <w:t>zwecks unmittelbarer und ausschließlicher Verwendung für die Förderung im Sinne dieser Satzung</w:t>
            </w:r>
            <w:r>
              <w:rPr>
                <w:rFonts w:eastAsia="Times" w:cs="Times" w:ascii="Secca KjG" w:hAnsi="Secca KjG"/>
                <w:color w:val="000000"/>
              </w:rPr>
              <w:t xml:space="preserve"> auszuhändigen.</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Regelmäßige Probleme bei Finanzämtern</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25)</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 xml:space="preserve">25) </w:t>
            </w:r>
            <w:r>
              <w:rPr>
                <w:rFonts w:eastAsia="Times" w:cs="Times" w:ascii="Secca KjG" w:hAnsi="Secca KjG"/>
                <w:strike/>
                <w:color w:val="FF0000"/>
              </w:rPr>
              <w:t>Falls die Mitgliederzahl einer Ortsgruppe unter drei Mitglieder fällt, kann auf begründeten Antrag der Diözesanleitung der Verwaltungsrat die Auflösung der Ortsgruppe beschließen. Ein entsprechender Beschluss bedarf einer Zwei-Drittel-Mehrheit der abgegebenen Stimmen. Der KjG-Ortsgruppe wird vorher die Möglichkeit zur Stellungnahme gegeben.</w:t>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25) </w:t>
            </w:r>
            <w:r>
              <w:rPr>
                <w:rFonts w:eastAsia="Times" w:cs="Times" w:ascii="Secca KjG" w:hAnsi="Secca KjG"/>
                <w:color w:val="00A933"/>
                <w:u w:val="single"/>
              </w:rPr>
              <w:t>Besteht keine Ortsleitung, so kann die Diözesanleitung zur Auflösungsversammlung einladen.</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Die bisherige Regelung widersprach geltendem Recht</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28neu)</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r>
          </w:p>
        </w:tc>
        <w:tc>
          <w:tcPr>
            <w:tcW w:w="5221" w:type="dxa"/>
            <w:tcBorders>
              <w:left w:val="single" w:sz="2" w:space="0" w:color="000000"/>
              <w:bottom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 xml:space="preserve">28) </w:t>
            </w:r>
            <w:r>
              <w:rPr>
                <w:rFonts w:eastAsia="Times" w:cs="Times" w:ascii="Secca KjG" w:hAnsi="Secca KjG"/>
                <w:color w:val="000000"/>
                <w:kern w:val="0"/>
                <w:sz w:val="22"/>
                <w:szCs w:val="22"/>
                <w:shd w:fill="auto" w:val="clear"/>
                <w:lang w:val="de-DE" w:eastAsia="de-DE" w:bidi="ar-SA"/>
              </w:rPr>
              <w:t>Der Auflösungsprozess wird im Übrigen nach der „Anlage zur Auflösung einer Ortsgruppe“ durchgeführt.</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Änderung der DiKo 2022</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III Abs. 45)</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45) Ihre Aufgaben sind insbesondere:</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45) Ihre Aufgaben sind insbesondere:</w:t>
            </w:r>
          </w:p>
          <w:p>
            <w:pPr>
              <w:pStyle w:val="Normal"/>
              <w:widowControl w:val="false"/>
              <w:bidi w:val="0"/>
              <w:spacing w:before="0" w:after="100"/>
              <w:jc w:val="left"/>
              <w:rPr>
                <w:rFonts w:ascii="Secca KjG" w:hAnsi="Secca KjG" w:eastAsia="Times" w:cs="Times"/>
                <w:color w:val="000000"/>
              </w:rPr>
            </w:pPr>
            <w:r>
              <w:rPr>
                <w:rFonts w:eastAsia="Times" w:cs="Times" w:ascii="Secca KjG" w:hAnsi="Secca KjG"/>
                <w:color w:val="000000"/>
              </w:rPr>
              <w:t>[…]</w:t>
            </w:r>
          </w:p>
          <w:p>
            <w:pPr>
              <w:pStyle w:val="Normal"/>
              <w:widowControl w:val="false"/>
              <w:bidi w:val="0"/>
              <w:spacing w:before="0" w:after="100"/>
              <w:jc w:val="left"/>
              <w:rPr>
                <w:rFonts w:ascii="Secca KjG" w:hAnsi="Secca KjG" w:eastAsia="Times" w:cs="Times"/>
                <w:color w:val="00A933"/>
                <w:u w:val="single"/>
              </w:rPr>
            </w:pPr>
            <w:r>
              <w:rPr>
                <w:rFonts w:eastAsia="Times" w:cs="Times" w:ascii="Secca KjG" w:hAnsi="Secca KjG"/>
                <w:color w:val="00A933"/>
                <w:u w:val="single"/>
              </w:rPr>
              <w:t xml:space="preserve">h) </w:t>
            </w:r>
            <w:r>
              <w:rPr>
                <w:rFonts w:eastAsia="Times" w:cs="Times" w:ascii="Secca KjG" w:hAnsi="Secca KjG"/>
                <w:color w:val="00A933"/>
                <w:u w:val="single"/>
                <w:shd w:fill="auto" w:val="clear"/>
              </w:rPr>
              <w:t>Sorge für die Mitgliedergewinnung und -pflege auf Ortsebene sowie Meldung der Mitglieder an den Diözesanverband</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Anpassung der DiKo 2022</w:t>
            </w:r>
          </w:p>
        </w:tc>
      </w:tr>
      <w:tr>
        <w:trPr/>
        <w:tc>
          <w:tcPr>
            <w:tcW w:w="1179" w:type="dxa"/>
            <w:tcBorders>
              <w:left w:val="single" w:sz="2" w:space="0" w:color="000000"/>
              <w:bottom w:val="single" w:sz="2" w:space="0" w:color="000000"/>
            </w:tcBorders>
          </w:tcPr>
          <w:p>
            <w:pPr>
              <w:pStyle w:val="TableContents"/>
              <w:widowControl w:val="false"/>
              <w:bidi w:val="0"/>
              <w:jc w:val="left"/>
              <w:rPr>
                <w:rFonts w:ascii="Secca KjG" w:hAnsi="Secca KjG"/>
              </w:rPr>
            </w:pPr>
            <w:r>
              <w:rPr>
                <w:rFonts w:ascii="Secca KjG" w:hAnsi="Secca KjG"/>
              </w:rPr>
              <w:t>Anlage zur Auflösung</w:t>
            </w:r>
          </w:p>
        </w:tc>
        <w:tc>
          <w:tcPr>
            <w:tcW w:w="5221" w:type="dxa"/>
            <w:tcBorders>
              <w:left w:val="single" w:sz="2" w:space="0" w:color="000000"/>
              <w:bottom w:val="single" w:sz="2" w:space="0" w:color="000000"/>
            </w:tcBorders>
          </w:tcPr>
          <w:p>
            <w:pPr>
              <w:pStyle w:val="Normal"/>
              <w:widowControl w:val="false"/>
              <w:bidi w:val="0"/>
              <w:spacing w:before="0" w:after="100"/>
              <w:jc w:val="left"/>
              <w:rPr>
                <w:rFonts w:ascii="Secca KjG" w:hAnsi="Secca KjG" w:eastAsia="Times" w:cs="Times"/>
                <w:color w:val="00A933"/>
                <w:u w:val="single"/>
              </w:rPr>
            </w:pPr>
            <w:r>
              <w:rPr>
                <w:rFonts w:eastAsia="Times" w:cs="Times" w:ascii="Secca KjG" w:hAnsi="Secca KjG"/>
                <w:color w:val="00A933"/>
                <w:u w:val="single"/>
              </w:rPr>
            </w:r>
          </w:p>
        </w:tc>
        <w:tc>
          <w:tcPr>
            <w:tcW w:w="5221" w:type="dxa"/>
            <w:tcBorders>
              <w:left w:val="single" w:sz="2" w:space="0" w:color="000000"/>
              <w:bottom w:val="single" w:sz="2" w:space="0" w:color="000000"/>
            </w:tcBorders>
          </w:tcPr>
          <w:p>
            <w:pPr>
              <w:pStyle w:val="Normal"/>
              <w:widowControl w:val="false"/>
              <w:bidi w:val="0"/>
              <w:spacing w:lineRule="auto" w:line="240"/>
              <w:jc w:val="left"/>
              <w:rPr>
                <w:color w:val="00A933"/>
                <w:u w:val="single"/>
              </w:rPr>
            </w:pPr>
            <w:r>
              <w:rPr>
                <w:rFonts w:eastAsia="Arial" w:cs="Arial" w:ascii="Secca KjG" w:hAnsi="Secca KjG"/>
                <w:b/>
                <w:color w:val="00A933"/>
                <w:kern w:val="0"/>
                <w:sz w:val="42"/>
                <w:szCs w:val="42"/>
                <w:u w:val="single"/>
                <w:shd w:fill="auto" w:val="clear"/>
                <w:lang w:val="de-DE" w:eastAsia="de-DE" w:bidi="ar-SA"/>
              </w:rPr>
              <w:t>Anlage zur Auflösung einer Ortsgruppe</w:t>
            </w:r>
          </w:p>
          <w:p>
            <w:pPr>
              <w:pStyle w:val="Normal"/>
              <w:widowControl w:val="false"/>
              <w:bidi w:val="0"/>
              <w:spacing w:lineRule="auto" w:line="240"/>
              <w:jc w:val="left"/>
              <w:rPr>
                <w:rFonts w:ascii="Secca KjG" w:hAnsi="Secca KjG" w:eastAsia="Times" w:cs="Times"/>
                <w:color w:val="00A933"/>
                <w:highlight w:val="none"/>
                <w:u w:val="single"/>
                <w:shd w:fill="auto" w:val="clear"/>
              </w:rPr>
            </w:pPr>
            <w:r>
              <w:rPr>
                <w:rFonts w:eastAsia="Times" w:cs="Times" w:ascii="Secca KjG" w:hAnsi="Secca KjG"/>
                <w:color w:val="00A933"/>
                <w:u w:val="single"/>
                <w:shd w:fill="auto" w:val="clear"/>
              </w:rPr>
            </w:r>
          </w:p>
          <w:p>
            <w:pPr>
              <w:pStyle w:val="Normal"/>
              <w:widowControl w:val="false"/>
              <w:bidi w:val="0"/>
              <w:spacing w:lineRule="auto" w:line="240"/>
              <w:jc w:val="left"/>
              <w:rPr>
                <w:color w:val="00A933"/>
                <w:u w:val="single"/>
              </w:rPr>
            </w:pPr>
            <w:r>
              <w:rPr>
                <w:rFonts w:eastAsia="Times" w:cs="Times" w:ascii="Secca KjG" w:hAnsi="Secca KjG"/>
                <w:b/>
                <w:color w:val="00A933"/>
                <w:kern w:val="0"/>
                <w:sz w:val="22"/>
                <w:szCs w:val="22"/>
                <w:u w:val="single"/>
                <w:shd w:fill="auto" w:val="clear"/>
                <w:lang w:val="de-DE" w:eastAsia="de-DE" w:bidi="ar-SA"/>
              </w:rPr>
              <w:t>1. Information über Auflösungsvorhaben</w:t>
            </w:r>
            <w:r>
              <w:rPr>
                <w:rFonts w:eastAsia="Times" w:cs="Times" w:ascii="Secca KjG" w:hAnsi="Secca KjG"/>
                <w:color w:val="00A933"/>
                <w:u w:val="single"/>
                <w:shd w:fill="auto" w:val="clear"/>
              </w:rPr>
              <w:br/>
              <w:t xml:space="preserve">Die Ortsleitung informiert die Diözesanleitung des Diözesanverbandes der Katholischen jungen Gemeinde in der Erzdiözese Freiburg über das Vorhaben und </w:t>
            </w:r>
            <w:r>
              <w:rPr>
                <w:rFonts w:eastAsia="Times" w:cs="Times" w:ascii="Secca KjG" w:hAnsi="Secca KjG"/>
                <w:color w:val="00A933"/>
                <w:kern w:val="0"/>
                <w:sz w:val="22"/>
                <w:szCs w:val="22"/>
                <w:u w:val="single"/>
                <w:shd w:fill="auto" w:val="clear"/>
                <w:lang w:val="de-DE" w:eastAsia="de-DE" w:bidi="ar-SA"/>
              </w:rPr>
              <w:t>nimmt</w:t>
            </w:r>
            <w:r>
              <w:rPr>
                <w:rFonts w:eastAsia="Times" w:cs="Times" w:ascii="Secca KjG" w:hAnsi="Secca KjG"/>
                <w:color w:val="00A933"/>
                <w:u w:val="single"/>
                <w:shd w:fill="auto" w:val="clear"/>
              </w:rPr>
              <w:t xml:space="preserve"> falls nötig Beratung in Anspruch insofern die Auflösung nicht nach III Abs. 26) durch die Diözesanleitung initiiert werden soll.</w:t>
            </w:r>
          </w:p>
          <w:p>
            <w:pPr>
              <w:pStyle w:val="Normal"/>
              <w:widowControl w:val="false"/>
              <w:bidi w:val="0"/>
              <w:spacing w:lineRule="auto" w:line="240"/>
              <w:jc w:val="left"/>
              <w:rPr>
                <w:rFonts w:ascii="Secca KjG" w:hAnsi="Secca KjG" w:eastAsia="Times" w:cs="Times"/>
                <w:color w:val="00A933"/>
                <w:highlight w:val="none"/>
                <w:u w:val="single"/>
                <w:shd w:fill="auto" w:val="clear"/>
              </w:rPr>
            </w:pPr>
            <w:r>
              <w:rPr>
                <w:rFonts w:eastAsia="Times" w:cs="Times" w:ascii="Secca KjG" w:hAnsi="Secca KjG"/>
                <w:color w:val="00A933"/>
                <w:u w:val="single"/>
                <w:shd w:fill="auto" w:val="clear"/>
              </w:rPr>
            </w:r>
          </w:p>
          <w:p>
            <w:pPr>
              <w:pStyle w:val="Normal"/>
              <w:widowControl w:val="false"/>
              <w:bidi w:val="0"/>
              <w:spacing w:lineRule="auto" w:line="240"/>
              <w:jc w:val="left"/>
              <w:rPr>
                <w:color w:val="00A933"/>
                <w:u w:val="single"/>
              </w:rPr>
            </w:pPr>
            <w:r>
              <w:rPr>
                <w:rFonts w:eastAsia="Times" w:cs="Times" w:ascii="Secca KjG" w:hAnsi="Secca KjG"/>
                <w:b/>
                <w:color w:val="00A933"/>
                <w:kern w:val="0"/>
                <w:sz w:val="22"/>
                <w:szCs w:val="22"/>
                <w:u w:val="single"/>
                <w:shd w:fill="auto" w:val="clear"/>
                <w:lang w:val="de-DE" w:eastAsia="de-DE" w:bidi="ar-SA"/>
              </w:rPr>
              <w:t>2. Einladung zur Auflösungsversammlung</w:t>
            </w:r>
            <w:r>
              <w:rPr>
                <w:rFonts w:eastAsia="Times" w:cs="Times" w:ascii="Secca KjG" w:hAnsi="Secca KjG"/>
                <w:color w:val="00A933"/>
                <w:u w:val="single"/>
                <w:shd w:fill="auto" w:val="clear"/>
              </w:rPr>
              <w:br/>
              <w:t xml:space="preserve">Um eine Auflösung in Gang zu setzen, bedarf es eines Beschlusses der Mitgliederversammlung. Eine Auflösung kann nur initiativ d.h. durch </w:t>
            </w:r>
            <w:r>
              <w:rPr>
                <w:rFonts w:eastAsia="Times" w:cs="Times" w:ascii="Secca KjG" w:hAnsi="Secca KjG"/>
                <w:color w:val="00A933"/>
                <w:kern w:val="0"/>
                <w:sz w:val="22"/>
                <w:szCs w:val="22"/>
                <w:u w:val="single"/>
                <w:shd w:fill="auto" w:val="clear"/>
                <w:lang w:val="de-DE" w:eastAsia="de-DE" w:bidi="ar-SA"/>
              </w:rPr>
              <w:t>die Ortsgruppe</w:t>
            </w:r>
            <w:r>
              <w:rPr>
                <w:rFonts w:eastAsia="Times" w:cs="Times" w:ascii="Secca KjG" w:hAnsi="Secca KjG"/>
                <w:color w:val="00A933"/>
                <w:u w:val="single"/>
                <w:shd w:fill="auto" w:val="clear"/>
              </w:rPr>
              <w:t xml:space="preserve"> selbst erfolgen. Eine Auflösung durch Dritte ist nicht zulässig oder möglich. Die Mitgliederversammlung muss mit der Absicht der Auflösung form- und fristgerecht mindestens 14 Tage vorher </w:t>
            </w:r>
            <w:r>
              <w:rPr>
                <w:rFonts w:eastAsia="Times" w:cs="Times" w:ascii="Secca KjG" w:hAnsi="Secca KjG"/>
                <w:color w:val="00A933"/>
                <w:kern w:val="0"/>
                <w:sz w:val="22"/>
                <w:szCs w:val="22"/>
                <w:u w:val="single"/>
                <w:shd w:fill="auto" w:val="clear"/>
                <w:lang w:val="de-DE" w:eastAsia="de-DE" w:bidi="ar-SA"/>
              </w:rPr>
              <w:t>in Textform</w:t>
            </w:r>
            <w:r>
              <w:rPr>
                <w:rFonts w:eastAsia="Times" w:cs="Times" w:ascii="Secca KjG" w:hAnsi="Secca KjG"/>
                <w:color w:val="00A933"/>
                <w:u w:val="single"/>
                <w:shd w:fill="auto" w:val="clear"/>
              </w:rPr>
              <w:t xml:space="preserve"> einberufen werden. Der Einladung ist eine Begründung beizufügen.</w:t>
              <w:br/>
              <w:t xml:space="preserve">Hierzu </w:t>
            </w:r>
            <w:r>
              <w:rPr>
                <w:rFonts w:eastAsia="Times" w:cs="Times" w:ascii="Secca KjG" w:hAnsi="Secca KjG"/>
                <w:color w:val="00A933"/>
                <w:kern w:val="0"/>
                <w:sz w:val="22"/>
                <w:szCs w:val="22"/>
                <w:u w:val="single"/>
                <w:shd w:fill="auto" w:val="clear"/>
                <w:lang w:val="de-DE" w:eastAsia="de-DE" w:bidi="ar-SA"/>
              </w:rPr>
              <w:t>ist</w:t>
            </w:r>
            <w:r>
              <w:rPr>
                <w:rFonts w:eastAsia="Times" w:cs="Times" w:ascii="Secca KjG" w:hAnsi="Secca KjG"/>
                <w:color w:val="00A933"/>
                <w:u w:val="single"/>
                <w:shd w:fill="auto" w:val="clear"/>
              </w:rPr>
              <w:t xml:space="preserve"> ebenfalls die KjG Diözesanleitung sowie, falls vorhanden, der Vorstand des regionalen BDKJ einzuladen. </w:t>
            </w:r>
            <w:r>
              <w:rPr>
                <w:rFonts w:eastAsia="Times" w:cs="Times" w:ascii="Secca KjG" w:hAnsi="Secca KjG"/>
                <w:color w:val="00A933"/>
                <w:kern w:val="0"/>
                <w:sz w:val="22"/>
                <w:szCs w:val="22"/>
                <w:u w:val="single"/>
                <w:shd w:fill="auto" w:val="clear"/>
                <w:lang w:val="de-DE" w:eastAsia="de-DE" w:bidi="ar-SA"/>
              </w:rPr>
              <w:t>Ist die Ortsleitung</w:t>
            </w:r>
            <w:r>
              <w:rPr>
                <w:rFonts w:eastAsia="Times" w:cs="Times" w:ascii="Secca KjG" w:hAnsi="Secca KjG"/>
                <w:color w:val="00A933"/>
                <w:u w:val="single"/>
                <w:shd w:fill="auto" w:val="clear"/>
              </w:rPr>
              <w:t xml:space="preserve"> nicht besetzt, muss eine Einladung durch die KjG Diözesanleitung erfolgen.</w:t>
            </w:r>
          </w:p>
          <w:p>
            <w:pPr>
              <w:pStyle w:val="Normal"/>
              <w:widowControl w:val="false"/>
              <w:bidi w:val="0"/>
              <w:spacing w:lineRule="auto" w:line="240"/>
              <w:jc w:val="left"/>
              <w:rPr>
                <w:rFonts w:ascii="Secca KjG" w:hAnsi="Secca KjG" w:eastAsia="Times" w:cs="Times"/>
                <w:color w:val="00A933"/>
                <w:highlight w:val="none"/>
                <w:u w:val="single"/>
                <w:shd w:fill="FFFF00" w:val="clear"/>
              </w:rPr>
            </w:pPr>
            <w:r>
              <w:rPr>
                <w:rFonts w:eastAsia="Times" w:cs="Times" w:ascii="Secca KjG" w:hAnsi="Secca KjG"/>
                <w:color w:val="00A933"/>
                <w:u w:val="single"/>
                <w:shd w:fill="FFFF00" w:val="clear"/>
              </w:rPr>
            </w:r>
          </w:p>
          <w:p>
            <w:pPr>
              <w:pStyle w:val="Normal"/>
              <w:widowControl w:val="false"/>
              <w:bidi w:val="0"/>
              <w:spacing w:lineRule="auto" w:line="240"/>
              <w:jc w:val="left"/>
              <w:rPr>
                <w:color w:val="00A933"/>
                <w:highlight w:val="none"/>
                <w:u w:val="single"/>
                <w:shd w:fill="auto" w:val="clear"/>
              </w:rPr>
            </w:pPr>
            <w:r>
              <w:rPr>
                <w:rFonts w:eastAsia="Times" w:cs="Times" w:ascii="Secca KjG" w:hAnsi="Secca KjG"/>
                <w:b/>
                <w:color w:val="00A933"/>
                <w:kern w:val="0"/>
                <w:sz w:val="22"/>
                <w:szCs w:val="22"/>
                <w:u w:val="single"/>
                <w:shd w:fill="auto" w:val="clear"/>
                <w:lang w:val="de-DE" w:eastAsia="de-DE" w:bidi="ar-SA"/>
              </w:rPr>
              <w:t>3. Entscheidung über Auflösung und Bestimmung von Liquidatoren</w:t>
            </w:r>
            <w:r>
              <w:rPr>
                <w:rFonts w:eastAsia="Times" w:cs="Times" w:ascii="Secca KjG" w:hAnsi="Secca KjG"/>
                <w:color w:val="00A933"/>
                <w:u w:val="single"/>
                <w:shd w:fill="auto" w:val="clear"/>
              </w:rPr>
              <w:br/>
              <w:t xml:space="preserve">Im Rahmen der Mitgliederversammlung wird über das Vorhaben der Auflösung beraten und abgestimmt. </w:t>
            </w:r>
            <w:r>
              <w:rPr>
                <w:rFonts w:eastAsia="Times" w:cs="Times" w:ascii="Secca KjG" w:hAnsi="Secca KjG"/>
                <w:color w:val="00A933"/>
                <w:kern w:val="0"/>
                <w:sz w:val="22"/>
                <w:szCs w:val="22"/>
                <w:u w:val="single"/>
                <w:shd w:fill="auto" w:val="clear"/>
                <w:lang w:val="de-DE" w:eastAsia="de-DE" w:bidi="ar-SA"/>
              </w:rPr>
              <w:t>Dem</w:t>
            </w:r>
            <w:r>
              <w:rPr>
                <w:rFonts w:eastAsia="Times" w:cs="Times" w:ascii="Secca KjG" w:hAnsi="Secca KjG"/>
                <w:color w:val="00A933"/>
                <w:u w:val="single"/>
                <w:shd w:fill="auto" w:val="clear"/>
              </w:rPr>
              <w:t xml:space="preserve"> Beschluss </w:t>
            </w:r>
            <w:r>
              <w:rPr>
                <w:rFonts w:eastAsia="Times" w:cs="Times" w:ascii="Secca KjG" w:hAnsi="Secca KjG"/>
                <w:color w:val="00A933"/>
                <w:kern w:val="0"/>
                <w:sz w:val="22"/>
                <w:szCs w:val="22"/>
                <w:u w:val="single"/>
                <w:shd w:fill="auto" w:val="clear"/>
                <w:lang w:val="de-DE" w:eastAsia="de-DE" w:bidi="ar-SA"/>
              </w:rPr>
              <w:t>müssen</w:t>
            </w:r>
            <w:r>
              <w:rPr>
                <w:rFonts w:eastAsia="Times" w:cs="Times" w:ascii="Secca KjG" w:hAnsi="Secca KjG"/>
                <w:color w:val="00A933"/>
                <w:u w:val="single"/>
                <w:shd w:fill="auto" w:val="clear"/>
              </w:rPr>
              <w:t xml:space="preserve"> mindestens 3/4 der anwesenden stimmberechtigten Mitglieder zugestimmt haben. Zusätzlich muss beschlossen werden, wer die Auflösung umsetzen wird (die sogenannten Liquidator*innen). Hierbei ist zu beachten, dass Geldwerte im Sinne des Vereinszwecks verwendet werden müssen bzw. die Geldmittel genutzt werden müssen, um eventuelle Schulden zu tilgen. </w:t>
            </w:r>
            <w:r>
              <w:rPr>
                <w:rFonts w:eastAsia="Times" w:cs="Times" w:ascii="Secca KjG" w:hAnsi="Secca KjG"/>
                <w:strike w:val="false"/>
                <w:dstrike w:val="false"/>
                <w:color w:val="00A933"/>
                <w:u w:val="single"/>
                <w:shd w:fill="auto" w:val="clear"/>
              </w:rPr>
              <w:t xml:space="preserve">Als Liquidator*innen kann die Diözesanleitung </w:t>
            </w:r>
            <w:r>
              <w:rPr>
                <w:rFonts w:eastAsia="Times" w:cs="Times" w:ascii="Secca KjG" w:hAnsi="Secca KjG"/>
                <w:strike w:val="false"/>
                <w:dstrike w:val="false"/>
                <w:color w:val="00A933"/>
                <w:kern w:val="0"/>
                <w:sz w:val="22"/>
                <w:szCs w:val="22"/>
                <w:u w:val="single"/>
                <w:shd w:fill="auto" w:val="clear"/>
                <w:lang w:val="de-DE" w:eastAsia="de-DE" w:bidi="ar-SA"/>
              </w:rPr>
              <w:t>zur Verfügung stehen.</w:t>
            </w:r>
          </w:p>
          <w:p>
            <w:pPr>
              <w:pStyle w:val="Normal"/>
              <w:widowControl w:val="false"/>
              <w:bidi w:val="0"/>
              <w:spacing w:lineRule="auto" w:line="240"/>
              <w:jc w:val="left"/>
              <w:rPr>
                <w:rFonts w:ascii="Secca KjG" w:hAnsi="Secca KjG" w:eastAsia="Times" w:cs="Times"/>
                <w:color w:val="00A933"/>
                <w:highlight w:val="none"/>
                <w:u w:val="single"/>
                <w:shd w:fill="FFFF00" w:val="clear"/>
              </w:rPr>
            </w:pPr>
            <w:r>
              <w:rPr>
                <w:rFonts w:eastAsia="Times" w:cs="Times" w:ascii="Secca KjG" w:hAnsi="Secca KjG"/>
                <w:color w:val="00A933"/>
                <w:u w:val="single"/>
                <w:shd w:fill="FFFF00" w:val="clear"/>
              </w:rPr>
            </w:r>
          </w:p>
          <w:p>
            <w:pPr>
              <w:pStyle w:val="Normal"/>
              <w:widowControl w:val="false"/>
              <w:bidi w:val="0"/>
              <w:spacing w:lineRule="auto" w:line="240"/>
              <w:jc w:val="left"/>
              <w:rPr>
                <w:color w:val="00A933"/>
                <w:u w:val="single"/>
              </w:rPr>
            </w:pPr>
            <w:r>
              <w:rPr>
                <w:rFonts w:eastAsia="Times" w:cs="Times" w:ascii="Secca KjG" w:hAnsi="Secca KjG"/>
                <w:b/>
                <w:color w:val="00A933"/>
                <w:kern w:val="0"/>
                <w:sz w:val="22"/>
                <w:szCs w:val="22"/>
                <w:u w:val="single"/>
                <w:shd w:fill="auto" w:val="clear"/>
                <w:lang w:val="de-DE" w:eastAsia="de-DE" w:bidi="ar-SA"/>
              </w:rPr>
              <w:t>4. Beginn des Auflösungs - und Liquidationsprozesses</w:t>
            </w:r>
            <w:r>
              <w:rPr>
                <w:rFonts w:eastAsia="Times" w:cs="Times" w:ascii="Secca KjG" w:hAnsi="Secca KjG"/>
                <w:color w:val="00A933"/>
                <w:u w:val="single"/>
                <w:shd w:fill="auto" w:val="clear"/>
              </w:rPr>
              <w:br/>
              <w:t xml:space="preserve">Nach gefasstem Beschluss über die Auflösung, tritt der Verein in die Liquidation ein. Die Entscheidung der Mitgliederversammlung ist allen Mitgliedern inkl. des Protokolls zuzustellen. </w:t>
              <w:br/>
              <w:t>Für den Prozess der Liquidation gelten folgende gesetzliche Regelungen:</w:t>
            </w:r>
          </w:p>
          <w:p>
            <w:pPr>
              <w:pStyle w:val="Normal"/>
              <w:widowControl w:val="false"/>
              <w:numPr>
                <w:ilvl w:val="0"/>
                <w:numId w:val="1"/>
              </w:numPr>
              <w:bidi w:val="0"/>
              <w:spacing w:lineRule="auto" w:line="240"/>
              <w:jc w:val="left"/>
              <w:rPr>
                <w:color w:val="00A933"/>
                <w:highlight w:val="none"/>
                <w:u w:val="single"/>
                <w:shd w:fill="auto" w:val="clear"/>
              </w:rPr>
            </w:pPr>
            <w:r>
              <w:rPr>
                <w:rFonts w:eastAsia="Times" w:cs="Times" w:ascii="Secca KjG" w:hAnsi="Secca KjG"/>
                <w:color w:val="00A933"/>
                <w:u w:val="single"/>
                <w:shd w:fill="auto" w:val="clear"/>
              </w:rPr>
              <w:t>Die Auflösung des Vereins kann nur durch die Mitgliederversammlung beschlossen werden (§ 41  BGB).</w:t>
            </w:r>
          </w:p>
          <w:p>
            <w:pPr>
              <w:pStyle w:val="Normal"/>
              <w:widowControl w:val="false"/>
              <w:numPr>
                <w:ilvl w:val="0"/>
                <w:numId w:val="1"/>
              </w:numPr>
              <w:bidi w:val="0"/>
              <w:spacing w:lineRule="auto" w:line="240"/>
              <w:jc w:val="left"/>
              <w:rPr>
                <w:color w:val="00A933"/>
                <w:u w:val="single"/>
              </w:rPr>
            </w:pPr>
            <w:r>
              <w:rPr>
                <w:rFonts w:eastAsia="Times" w:cs="Times" w:ascii="Secca KjG" w:hAnsi="Secca KjG"/>
                <w:color w:val="00A933"/>
                <w:u w:val="single"/>
                <w:shd w:fill="auto" w:val="clear"/>
              </w:rPr>
              <w:t>Der von der Mitgliederversammlung einmal gefasste Auflösungsbeschluss kann wieder rückgängig gemacht werden, solange die Liquidation noch nicht beendet ist.</w:t>
            </w:r>
          </w:p>
          <w:p>
            <w:pPr>
              <w:pStyle w:val="Normal"/>
              <w:widowControl w:val="false"/>
              <w:bidi w:val="0"/>
              <w:spacing w:lineRule="auto" w:line="240"/>
              <w:jc w:val="left"/>
              <w:rPr>
                <w:rFonts w:ascii="Secca KjG" w:hAnsi="Secca KjG" w:eastAsia="Times" w:cs="Times"/>
                <w:color w:val="00A933"/>
                <w:highlight w:val="none"/>
                <w:u w:val="single"/>
                <w:shd w:fill="auto" w:val="clear"/>
              </w:rPr>
            </w:pPr>
            <w:r>
              <w:rPr>
                <w:rFonts w:eastAsia="Times" w:cs="Times" w:ascii="Secca KjG" w:hAnsi="Secca KjG"/>
                <w:color w:val="00A933"/>
                <w:u w:val="single"/>
                <w:shd w:fill="auto" w:val="clear"/>
              </w:rPr>
            </w:r>
          </w:p>
          <w:p>
            <w:pPr>
              <w:pStyle w:val="Normal"/>
              <w:widowControl w:val="false"/>
              <w:bidi w:val="0"/>
              <w:spacing w:lineRule="auto" w:line="240"/>
              <w:jc w:val="left"/>
              <w:rPr>
                <w:color w:val="00A933"/>
                <w:u w:val="single"/>
              </w:rPr>
            </w:pPr>
            <w:r>
              <w:rPr>
                <w:rFonts w:eastAsia="Times" w:cs="Times" w:ascii="Secca KjG" w:hAnsi="Secca KjG"/>
                <w:color w:val="00A933"/>
                <w:u w:val="single"/>
                <w:shd w:fill="auto" w:val="clear"/>
              </w:rPr>
              <w:t>Für die beim Finanzamt registrierten Vereine gilt:</w:t>
            </w:r>
          </w:p>
          <w:p>
            <w:pPr>
              <w:pStyle w:val="Normal"/>
              <w:widowControl w:val="false"/>
              <w:numPr>
                <w:ilvl w:val="0"/>
                <w:numId w:val="2"/>
              </w:numPr>
              <w:bidi w:val="0"/>
              <w:spacing w:lineRule="auto" w:line="240"/>
              <w:jc w:val="left"/>
              <w:rPr>
                <w:color w:val="00A933"/>
                <w:u w:val="single"/>
              </w:rPr>
            </w:pPr>
            <w:r>
              <w:rPr>
                <w:rFonts w:eastAsia="Times" w:cs="Times" w:ascii="Secca KjG" w:hAnsi="Secca KjG"/>
                <w:color w:val="00A933"/>
                <w:u w:val="single"/>
                <w:shd w:fill="auto" w:val="clear"/>
              </w:rPr>
              <w:t>Der Vorstand hat die Auflösung innerhalb eines Monats nach Beschlussfassung auch dem zuständigen Finanzamt sowie der für die Erhebung der Realsteuern (z. B. Grundsteuer für Gebäude) der zuständigen Gemeinde mitzuteilen (§§ 137 Abs. 1, 34 Abs. 1,20 Abs. 1 AO).</w:t>
            </w:r>
          </w:p>
          <w:p>
            <w:pPr>
              <w:pStyle w:val="Normal"/>
              <w:widowControl w:val="false"/>
              <w:bidi w:val="0"/>
              <w:spacing w:lineRule="auto" w:line="240"/>
              <w:jc w:val="left"/>
              <w:rPr>
                <w:rFonts w:ascii="Secca KjG" w:hAnsi="Secca KjG" w:eastAsia="Times" w:cs="Times"/>
                <w:color w:val="00A933"/>
                <w:highlight w:val="none"/>
                <w:u w:val="single"/>
                <w:shd w:fill="auto" w:val="clear"/>
              </w:rPr>
            </w:pPr>
            <w:r>
              <w:rPr>
                <w:rFonts w:eastAsia="Times" w:cs="Times" w:ascii="Secca KjG" w:hAnsi="Secca KjG"/>
                <w:color w:val="00A933"/>
                <w:u w:val="single"/>
                <w:shd w:fill="auto" w:val="clear"/>
              </w:rPr>
            </w:r>
          </w:p>
          <w:p>
            <w:pPr>
              <w:pStyle w:val="Normal"/>
              <w:widowControl w:val="false"/>
              <w:bidi w:val="0"/>
              <w:spacing w:lineRule="auto" w:line="240"/>
              <w:jc w:val="left"/>
              <w:rPr>
                <w:color w:val="00A933"/>
                <w:u w:val="single"/>
              </w:rPr>
            </w:pPr>
            <w:r>
              <w:rPr>
                <w:rFonts w:eastAsia="Times" w:cs="Times" w:ascii="Secca KjG" w:hAnsi="Secca KjG"/>
                <w:color w:val="00A933"/>
                <w:u w:val="single"/>
                <w:shd w:fill="auto" w:val="clear"/>
              </w:rPr>
              <w:t>Für eingetragene Vereine gilt zusätzlich:</w:t>
            </w:r>
          </w:p>
          <w:p>
            <w:pPr>
              <w:pStyle w:val="Normal"/>
              <w:widowControl w:val="false"/>
              <w:numPr>
                <w:ilvl w:val="0"/>
                <w:numId w:val="3"/>
              </w:numPr>
              <w:bidi w:val="0"/>
              <w:spacing w:lineRule="auto" w:line="240"/>
              <w:jc w:val="left"/>
              <w:rPr>
                <w:color w:val="00A933"/>
                <w:u w:val="single"/>
              </w:rPr>
            </w:pPr>
            <w:r>
              <w:rPr>
                <w:rFonts w:eastAsia="Times" w:cs="Times" w:ascii="Secca KjG" w:hAnsi="Secca KjG"/>
                <w:color w:val="00A933"/>
                <w:u w:val="single"/>
                <w:shd w:fill="auto" w:val="clear"/>
              </w:rPr>
              <w:t>Nach § 74 BGB muss der Vorstand nach § 26 BGB die Auflösung des Vereins dem Registergericht gegenüber anmelden und das Protokoll der Mitgliederversammlung, in der der Auflösungsbeschluss gefasst wurde, vorlegen.</w:t>
            </w:r>
          </w:p>
          <w:p>
            <w:pPr>
              <w:pStyle w:val="Normal"/>
              <w:widowControl w:val="false"/>
              <w:bidi w:val="0"/>
              <w:spacing w:lineRule="auto" w:line="240"/>
              <w:jc w:val="left"/>
              <w:rPr>
                <w:rFonts w:ascii="Secca KjG" w:hAnsi="Secca KjG" w:eastAsia="Times" w:cs="Times"/>
                <w:color w:val="00A933"/>
                <w:highlight w:val="none"/>
                <w:u w:val="single"/>
                <w:shd w:fill="auto" w:val="clear"/>
              </w:rPr>
            </w:pPr>
            <w:r>
              <w:rPr>
                <w:rFonts w:eastAsia="Times" w:cs="Times" w:ascii="Secca KjG" w:hAnsi="Secca KjG"/>
                <w:color w:val="00A933"/>
                <w:u w:val="single"/>
                <w:shd w:fill="auto" w:val="clear"/>
              </w:rPr>
            </w:r>
          </w:p>
          <w:p>
            <w:pPr>
              <w:pStyle w:val="Normal"/>
              <w:widowControl w:val="false"/>
              <w:bidi w:val="0"/>
              <w:spacing w:lineRule="auto" w:line="240"/>
              <w:jc w:val="left"/>
              <w:rPr>
                <w:color w:val="00A933"/>
                <w:u w:val="single"/>
              </w:rPr>
            </w:pPr>
            <w:r>
              <w:rPr>
                <w:rFonts w:eastAsia="Times" w:cs="Times" w:ascii="Secca KjG" w:hAnsi="Secca KjG"/>
                <w:b/>
                <w:color w:val="00A933"/>
                <w:kern w:val="0"/>
                <w:sz w:val="22"/>
                <w:szCs w:val="22"/>
                <w:u w:val="single"/>
                <w:shd w:fill="auto" w:val="clear"/>
                <w:lang w:val="de-DE" w:eastAsia="de-DE" w:bidi="ar-SA"/>
              </w:rPr>
              <w:t>5. Abwicklung von Mitgliedschaften und Finanzen</w:t>
            </w:r>
            <w:r>
              <w:rPr>
                <w:rFonts w:eastAsia="Times" w:cs="Times" w:ascii="Secca KjG" w:hAnsi="Secca KjG"/>
                <w:color w:val="00A933"/>
                <w:u w:val="single"/>
                <w:shd w:fill="auto" w:val="clear"/>
              </w:rPr>
              <w:br/>
              <w:t>Während des Auflösungsprozesses müssen laufende Kosten gedeckt und ein abschließender Finanzbericht durch die Liquidator*innen erstellt werden. Dabei müssen auch laufende Verträge abgewickelt werden. Zusätzlich muss geklärt werden, ob eventuell noch bestehende Mitgliedschaften gekündigt bzw. in andere Gruppen überführt werden können.</w:t>
            </w:r>
          </w:p>
          <w:p>
            <w:pPr>
              <w:pStyle w:val="Normal"/>
              <w:widowControl w:val="false"/>
              <w:bidi w:val="0"/>
              <w:spacing w:lineRule="auto" w:line="240"/>
              <w:jc w:val="left"/>
              <w:rPr>
                <w:rFonts w:ascii="Secca KjG" w:hAnsi="Secca KjG" w:eastAsia="Times" w:cs="Times"/>
                <w:color w:val="00A933"/>
                <w:highlight w:val="none"/>
                <w:u w:val="single"/>
                <w:shd w:fill="auto" w:val="clear"/>
              </w:rPr>
            </w:pPr>
            <w:r>
              <w:rPr>
                <w:rFonts w:eastAsia="Times" w:cs="Times" w:ascii="Secca KjG" w:hAnsi="Secca KjG"/>
                <w:color w:val="00A933"/>
                <w:u w:val="single"/>
                <w:shd w:fill="auto" w:val="clear"/>
              </w:rPr>
            </w:r>
          </w:p>
          <w:p>
            <w:pPr>
              <w:pStyle w:val="Normal"/>
              <w:widowControl w:val="false"/>
              <w:bidi w:val="0"/>
              <w:spacing w:lineRule="auto" w:line="240"/>
              <w:jc w:val="left"/>
              <w:rPr>
                <w:color w:val="00A933"/>
                <w:u w:val="single"/>
              </w:rPr>
            </w:pPr>
            <w:r>
              <w:rPr>
                <w:rFonts w:eastAsia="Times" w:cs="Times" w:ascii="Secca KjG" w:hAnsi="Secca KjG"/>
                <w:b/>
                <w:color w:val="00A933"/>
                <w:kern w:val="0"/>
                <w:sz w:val="22"/>
                <w:szCs w:val="22"/>
                <w:u w:val="single"/>
                <w:shd w:fill="auto" w:val="clear"/>
                <w:lang w:val="de-DE" w:eastAsia="de-DE" w:bidi="ar-SA"/>
              </w:rPr>
              <w:t>6. Dokumentation und Weitergabe an die zuständige Ebene</w:t>
            </w:r>
            <w:r>
              <w:rPr>
                <w:rFonts w:eastAsia="Times" w:cs="Times" w:ascii="Secca KjG" w:hAnsi="Secca KjG"/>
                <w:color w:val="00A933"/>
                <w:u w:val="single"/>
                <w:shd w:fill="auto" w:val="clear"/>
              </w:rPr>
              <w:br/>
              <w:t>Die Protokolle und der abschließende Finanzbericht werden an den KjG Diözesanverband Freiburg übergeben. Zusätzlich enden die aktuellen Mitgliedschaften bzw. werden überführt. Die Vermögenswerte werden satzungsgemäß und im Sinne des Vereinszwecks zur treuhänderischen Verwaltung an den KjG Diözesanverband Freiburg übergeben.</w:t>
            </w:r>
          </w:p>
          <w:p>
            <w:pPr>
              <w:pStyle w:val="Normal"/>
              <w:widowControl w:val="false"/>
              <w:bidi w:val="0"/>
              <w:spacing w:lineRule="auto" w:line="240"/>
              <w:jc w:val="left"/>
              <w:rPr>
                <w:rFonts w:ascii="Secca KjG" w:hAnsi="Secca KjG" w:eastAsia="Times" w:cs="Times"/>
                <w:color w:val="00A933"/>
                <w:highlight w:val="none"/>
                <w:u w:val="single"/>
                <w:shd w:fill="auto" w:val="clear"/>
              </w:rPr>
            </w:pPr>
            <w:r>
              <w:rPr>
                <w:rFonts w:eastAsia="Times" w:cs="Times" w:ascii="Secca KjG" w:hAnsi="Secca KjG"/>
                <w:color w:val="00A933"/>
                <w:u w:val="single"/>
                <w:shd w:fill="auto" w:val="clear"/>
              </w:rPr>
            </w:r>
          </w:p>
          <w:p>
            <w:pPr>
              <w:pStyle w:val="Normal"/>
              <w:widowControl w:val="false"/>
              <w:bidi w:val="0"/>
              <w:spacing w:lineRule="auto" w:line="240"/>
              <w:jc w:val="left"/>
              <w:rPr>
                <w:color w:val="00A933"/>
                <w:u w:val="single"/>
              </w:rPr>
            </w:pPr>
            <w:r>
              <w:rPr>
                <w:rFonts w:eastAsia="Times" w:cs="Times" w:ascii="Secca KjG" w:hAnsi="Secca KjG"/>
                <w:b/>
                <w:color w:val="00A933"/>
                <w:kern w:val="0"/>
                <w:sz w:val="22"/>
                <w:szCs w:val="22"/>
                <w:u w:val="single"/>
                <w:shd w:fill="auto" w:val="clear"/>
                <w:lang w:val="de-DE" w:eastAsia="de-DE" w:bidi="ar-SA"/>
              </w:rPr>
              <w:t>7. Abschluss der Auflösung</w:t>
            </w:r>
            <w:r>
              <w:rPr>
                <w:rFonts w:eastAsia="Times" w:cs="Times" w:ascii="Secca KjG" w:hAnsi="Secca KjG"/>
                <w:color w:val="00A933"/>
                <w:u w:val="single"/>
                <w:shd w:fill="auto" w:val="clear"/>
              </w:rPr>
              <w:br/>
              <w:t xml:space="preserve">Zum Abschluss muss, im Falle eines eingetragenen Vereins, das Registergericht nochmals informiert werden und </w:t>
            </w:r>
            <w:r>
              <w:rPr>
                <w:rFonts w:eastAsia="Times" w:cs="Times" w:ascii="Secca KjG" w:hAnsi="Secca KjG"/>
                <w:color w:val="00A933"/>
                <w:kern w:val="0"/>
                <w:sz w:val="22"/>
                <w:szCs w:val="22"/>
                <w:u w:val="single"/>
                <w:shd w:fill="auto" w:val="clear"/>
                <w:lang w:val="de-DE" w:eastAsia="de-DE" w:bidi="ar-SA"/>
              </w:rPr>
              <w:t>die Ortsgruppe</w:t>
            </w:r>
            <w:r>
              <w:rPr>
                <w:rFonts w:eastAsia="Times" w:cs="Times" w:ascii="Secca KjG" w:hAnsi="Secca KjG"/>
                <w:color w:val="00A933"/>
                <w:u w:val="single"/>
                <w:shd w:fill="auto" w:val="clear"/>
              </w:rPr>
              <w:t xml:space="preserve"> wird aus dem Vereinsregister gestrichen. Sind alle Aufgaben und Forderungen durch die Liquidator*innen erfüllt, gilt die Auflösung als vollzogen. Damit beenden die Liquidator*innen ihre Arbeit.</w:t>
            </w:r>
          </w:p>
          <w:p>
            <w:pPr>
              <w:pStyle w:val="Normal"/>
              <w:widowControl w:val="false"/>
              <w:bidi w:val="0"/>
              <w:spacing w:lineRule="auto" w:line="240"/>
              <w:jc w:val="left"/>
              <w:rPr>
                <w:color w:val="00A933"/>
                <w:u w:val="single"/>
              </w:rPr>
            </w:pPr>
            <w:r>
              <w:rPr>
                <w:color w:val="00A933"/>
                <w:u w:val="single"/>
                <w:shd w:fill="auto" w:val="clear"/>
              </w:rPr>
              <w:br/>
            </w:r>
            <w:r>
              <w:rPr>
                <w:b/>
                <w:color w:val="00A933"/>
                <w:kern w:val="0"/>
                <w:sz w:val="22"/>
                <w:szCs w:val="22"/>
                <w:u w:val="single"/>
                <w:shd w:fill="auto" w:val="clear"/>
                <w:lang w:val="de-DE" w:eastAsia="de-DE" w:bidi="ar-SA"/>
              </w:rPr>
              <w:t>8</w:t>
            </w:r>
            <w:r>
              <w:rPr>
                <w:rFonts w:ascii="Secca KjG" w:hAnsi="Secca KjG"/>
                <w:b/>
                <w:color w:val="00A933"/>
                <w:kern w:val="0"/>
                <w:sz w:val="22"/>
                <w:szCs w:val="22"/>
                <w:u w:val="single"/>
                <w:shd w:fill="auto" w:val="clear"/>
                <w:lang w:val="de-DE" w:eastAsia="de-DE" w:bidi="ar-SA"/>
              </w:rPr>
              <w:t>. Beginn der treuhänderischen Verwaltung durch den KjG Diözesanverband Freiburg</w:t>
            </w:r>
            <w:r>
              <w:rPr>
                <w:rFonts w:ascii="Secca KjG" w:hAnsi="Secca KjG"/>
                <w:color w:val="00A933"/>
                <w:u w:val="single"/>
                <w:shd w:fill="auto" w:val="clear"/>
              </w:rPr>
              <w:br/>
              <w:t xml:space="preserve">Nach Abschluss der Auflösung beginnt eine Sperrfrist von drei Jahren. Während dieser Zeit werden die Vermögenswerte der Ortsgruppe vom KjG Diözesanverband Freiburg treuhänderisch verwaltet oder für eine eventuelle Neugründung zurückgehalten Nach Ablauf dieser Frist </w:t>
            </w:r>
            <w:r>
              <w:rPr>
                <w:rFonts w:ascii="Secca KjG" w:hAnsi="Secca KjG"/>
                <w:color w:val="00A933"/>
                <w:kern w:val="0"/>
                <w:sz w:val="22"/>
                <w:szCs w:val="22"/>
                <w:u w:val="single"/>
                <w:shd w:fill="auto" w:val="clear"/>
                <w:lang w:val="de-DE" w:eastAsia="de-DE" w:bidi="ar-SA"/>
              </w:rPr>
              <w:t>wird das Vermögen der Ortsgruppe dem Solifonds zugeführt</w:t>
            </w:r>
            <w:r>
              <w:rPr>
                <w:rFonts w:ascii="Secca KjG" w:hAnsi="Secca KjG"/>
                <w:color w:val="00A933"/>
                <w:u w:val="single"/>
                <w:shd w:fill="auto" w:val="clear"/>
              </w:rPr>
              <w:t>.</w:t>
            </w:r>
          </w:p>
        </w:tc>
        <w:tc>
          <w:tcPr>
            <w:tcW w:w="1950" w:type="dxa"/>
            <w:tcBorders>
              <w:left w:val="single" w:sz="2" w:space="0" w:color="000000"/>
              <w:bottom w:val="single" w:sz="2" w:space="0" w:color="000000"/>
              <w:right w:val="single" w:sz="2" w:space="0" w:color="000000"/>
            </w:tcBorders>
          </w:tcPr>
          <w:p>
            <w:pPr>
              <w:pStyle w:val="Normal"/>
              <w:widowControl w:val="false"/>
              <w:bidi w:val="0"/>
              <w:spacing w:before="0" w:after="100"/>
              <w:jc w:val="both"/>
              <w:rPr>
                <w:rFonts w:ascii="Secca KjG" w:hAnsi="Secca KjG" w:eastAsia="Times" w:cs="Times"/>
                <w:color w:val="000000"/>
              </w:rPr>
            </w:pPr>
            <w:r>
              <w:rPr>
                <w:rFonts w:eastAsia="Times" w:cs="Times" w:ascii="Secca KjG" w:hAnsi="Secca KjG"/>
                <w:color w:val="000000"/>
              </w:rPr>
              <w:t>Anpassung der DiKo 2022</w:t>
            </w:r>
          </w:p>
        </w:tc>
      </w:tr>
    </w:tbl>
    <w:p>
      <w:pPr>
        <w:pStyle w:val="Normal"/>
        <w:bidi w:val="0"/>
        <w:jc w:val="left"/>
        <w:rPr>
          <w:rFonts w:ascii="Secca KjG" w:hAnsi="Secca KjG"/>
        </w:rPr>
      </w:pPr>
      <w:r>
        <w:rPr/>
      </w:r>
    </w:p>
    <w:sectPr>
      <w:type w:val="nextPage"/>
      <w:pgSz w:orient="landscape" w:w="15840" w:h="12240"/>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Secca KjG">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922"/>
        </w:tabs>
        <w:ind w:left="922" w:hanging="360"/>
      </w:pPr>
      <w:rPr>
        <w:rFonts w:ascii="Symbol" w:hAnsi="Symbol" w:cs="Symbol" w:hint="default"/>
      </w:rPr>
    </w:lvl>
    <w:lvl w:ilvl="1">
      <w:start w:val="1"/>
      <w:numFmt w:val="bullet"/>
      <w:lvlText w:val="◦"/>
      <w:lvlJc w:val="left"/>
      <w:pPr>
        <w:tabs>
          <w:tab w:val="num" w:pos="1282"/>
        </w:tabs>
        <w:ind w:left="1282" w:hanging="360"/>
      </w:pPr>
      <w:rPr>
        <w:rFonts w:ascii="OpenSymbol" w:hAnsi="OpenSymbol" w:cs="OpenSymbol" w:hint="default"/>
      </w:rPr>
    </w:lvl>
    <w:lvl w:ilvl="2">
      <w:start w:val="1"/>
      <w:numFmt w:val="bullet"/>
      <w:lvlText w:val="▪"/>
      <w:lvlJc w:val="left"/>
      <w:pPr>
        <w:tabs>
          <w:tab w:val="num" w:pos="1642"/>
        </w:tabs>
        <w:ind w:left="1642" w:hanging="360"/>
      </w:pPr>
      <w:rPr>
        <w:rFonts w:ascii="OpenSymbol" w:hAnsi="OpenSymbol" w:cs="OpenSymbol" w:hint="default"/>
      </w:rPr>
    </w:lvl>
    <w:lvl w:ilvl="3">
      <w:start w:val="1"/>
      <w:numFmt w:val="bullet"/>
      <w:lvlText w:val=""/>
      <w:lvlJc w:val="left"/>
      <w:pPr>
        <w:tabs>
          <w:tab w:val="num" w:pos="2002"/>
        </w:tabs>
        <w:ind w:left="2002" w:hanging="360"/>
      </w:pPr>
      <w:rPr>
        <w:rFonts w:ascii="Symbol" w:hAnsi="Symbol" w:cs="Symbol" w:hint="default"/>
      </w:rPr>
    </w:lvl>
    <w:lvl w:ilvl="4">
      <w:start w:val="1"/>
      <w:numFmt w:val="bullet"/>
      <w:lvlText w:val="◦"/>
      <w:lvlJc w:val="left"/>
      <w:pPr>
        <w:tabs>
          <w:tab w:val="num" w:pos="2362"/>
        </w:tabs>
        <w:ind w:left="2362" w:hanging="360"/>
      </w:pPr>
      <w:rPr>
        <w:rFonts w:ascii="OpenSymbol" w:hAnsi="OpenSymbol" w:cs="OpenSymbol" w:hint="default"/>
      </w:rPr>
    </w:lvl>
    <w:lvl w:ilvl="5">
      <w:start w:val="1"/>
      <w:numFmt w:val="bullet"/>
      <w:lvlText w:val="▪"/>
      <w:lvlJc w:val="left"/>
      <w:pPr>
        <w:tabs>
          <w:tab w:val="num" w:pos="2722"/>
        </w:tabs>
        <w:ind w:left="2722" w:hanging="360"/>
      </w:pPr>
      <w:rPr>
        <w:rFonts w:ascii="OpenSymbol" w:hAnsi="OpenSymbol" w:cs="OpenSymbol" w:hint="default"/>
      </w:rPr>
    </w:lvl>
    <w:lvl w:ilvl="6">
      <w:start w:val="1"/>
      <w:numFmt w:val="bullet"/>
      <w:lvlText w:val=""/>
      <w:lvlJc w:val="left"/>
      <w:pPr>
        <w:tabs>
          <w:tab w:val="num" w:pos="3082"/>
        </w:tabs>
        <w:ind w:left="3082" w:hanging="360"/>
      </w:pPr>
      <w:rPr>
        <w:rFonts w:ascii="Symbol" w:hAnsi="Symbol" w:cs="Symbol" w:hint="default"/>
      </w:rPr>
    </w:lvl>
    <w:lvl w:ilvl="7">
      <w:start w:val="1"/>
      <w:numFmt w:val="bullet"/>
      <w:lvlText w:val="◦"/>
      <w:lvlJc w:val="left"/>
      <w:pPr>
        <w:tabs>
          <w:tab w:val="num" w:pos="3442"/>
        </w:tabs>
        <w:ind w:left="3442" w:hanging="360"/>
      </w:pPr>
      <w:rPr>
        <w:rFonts w:ascii="OpenSymbol" w:hAnsi="OpenSymbol" w:cs="OpenSymbol" w:hint="default"/>
      </w:rPr>
    </w:lvl>
    <w:lvl w:ilvl="8">
      <w:start w:val="1"/>
      <w:numFmt w:val="bullet"/>
      <w:lvlText w:val="▪"/>
      <w:lvlJc w:val="left"/>
      <w:pPr>
        <w:tabs>
          <w:tab w:val="num" w:pos="3802"/>
        </w:tabs>
        <w:ind w:left="3802"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w:cs="Noto Sans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ans" w:cs="Noto Sans Devanagari"/>
      <w:color w:val="auto"/>
      <w:kern w:val="2"/>
      <w:sz w:val="24"/>
      <w:szCs w:val="24"/>
      <w:lang w:val="de-DE" w:eastAsia="zh-CN" w:bidi="hi-IN"/>
    </w:rPr>
  </w:style>
  <w:style w:type="character" w:styleId="FootnoteCharacters">
    <w:name w:val="Footnote Characters"/>
    <w:qFormat/>
    <w:rPr>
      <w:vertAlign w:val="superscript"/>
    </w:rPr>
  </w:style>
  <w:style w:type="character" w:styleId="FootnoteAnchor">
    <w:name w:val="Foot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Noto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lang w:val="zxx" w:eastAsia="zxx" w:bidi="zxx"/>
    </w:rPr>
  </w:style>
  <w:style w:type="paragraph" w:styleId="TableContents">
    <w:name w:val="Table Contents"/>
    <w:basedOn w:val="Normal"/>
    <w:qFormat/>
    <w:pPr>
      <w:widowControl w:val="false"/>
      <w:suppressLineNumbers/>
    </w:pPr>
    <w:rPr/>
  </w:style>
  <w:style w:type="paragraph" w:styleId="Footnote">
    <w:name w:val="Footnote Text"/>
    <w:basedOn w:val="Normal"/>
    <w:pPr>
      <w:suppressLineNumbers/>
      <w:ind w:left="340" w:hanging="340"/>
    </w:pPr>
    <w:rPr>
      <w:sz w:val="20"/>
      <w:szCs w:val="20"/>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LibreOffice/7.5.0.3$Linux_X86_64 LibreOffice_project/50$Build-3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2022-11-30T03:06:28Z</dcterms:created>
  <dc:creator>Felix Preu</dc:creator>
  <dc:description/>
  <dc:language>de-DE</dc:language>
  <cp:lastModifiedBy>Felix Preu</cp:lastModifiedBy>
  <dcterms:modified xsi:type="dcterms:W3CDTF">2023-02-06T00:14:31Z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